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494" w:rsidRDefault="001B2494" w:rsidP="00B079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79E7" w:rsidRPr="002402DA" w:rsidRDefault="00B079E7" w:rsidP="00B079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Преподав</w:t>
      </w:r>
      <w:r w:rsidR="00B579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атель</w:t>
      </w:r>
      <w:r w:rsidR="00B111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B579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="002946D8" w:rsidRPr="00B5792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Багаев</w:t>
      </w:r>
      <w:proofErr w:type="spellEnd"/>
      <w:r w:rsidR="002946D8" w:rsidRPr="00B5792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З.А.</w:t>
      </w:r>
    </w:p>
    <w:p w:rsidR="002946D8" w:rsidRPr="00E24251" w:rsidRDefault="00B57926" w:rsidP="00B079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Дисциплина</w:t>
      </w:r>
      <w:r w:rsidR="00B111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2946D8" w:rsidRPr="00E2425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Мировая художественная культура</w:t>
      </w:r>
    </w:p>
    <w:p w:rsidR="00FC6208" w:rsidRPr="00FB00E6" w:rsidRDefault="002946D8" w:rsidP="00FC620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Курс </w:t>
      </w:r>
      <w:r w:rsidR="009268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1, </w:t>
      </w:r>
      <w:r w:rsidRPr="00E242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группы:</w:t>
      </w:r>
      <w:r w:rsidR="00FE3861" w:rsidRPr="002402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C6208">
        <w:rPr>
          <w:rFonts w:ascii="Times New Roman" w:hAnsi="Times New Roman" w:cs="Times New Roman"/>
          <w:color w:val="000000"/>
          <w:sz w:val="24"/>
          <w:szCs w:val="24"/>
        </w:rPr>
        <w:t>ПНК – 2Л, ПНК – 2К, ПНК – 2П, ПНК – 1М, ПНК – 2Б, ПНК – 2С, ПНК – 2, ПНК – 2З, ПНК – 2В, ПНК – 2Д, ПНК – 1Н, ПНК – 2А, ПНК – 2</w:t>
      </w:r>
      <w:r w:rsidR="00FC6208" w:rsidRPr="00265DF8">
        <w:rPr>
          <w:rFonts w:ascii="Times New Roman" w:hAnsi="Times New Roman" w:cs="Times New Roman"/>
          <w:color w:val="000000"/>
          <w:sz w:val="24"/>
          <w:szCs w:val="24"/>
        </w:rPr>
        <w:t xml:space="preserve">Г, </w:t>
      </w:r>
      <w:r w:rsidR="00FC6208">
        <w:rPr>
          <w:rFonts w:ascii="Times New Roman" w:hAnsi="Times New Roman" w:cs="Times New Roman"/>
          <w:color w:val="000000"/>
          <w:sz w:val="24"/>
          <w:szCs w:val="24"/>
        </w:rPr>
        <w:t>ПНК – 2Е, ПНК – 2</w:t>
      </w:r>
      <w:r w:rsidR="00FC6208" w:rsidRPr="00265DF8">
        <w:rPr>
          <w:rFonts w:ascii="Times New Roman" w:hAnsi="Times New Roman" w:cs="Times New Roman"/>
          <w:color w:val="000000"/>
          <w:sz w:val="24"/>
          <w:szCs w:val="24"/>
        </w:rPr>
        <w:t>Ж.</w:t>
      </w:r>
    </w:p>
    <w:p w:rsidR="002946D8" w:rsidRPr="002402DA" w:rsidRDefault="002946D8" w:rsidP="00B079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02DA" w:rsidRDefault="002946D8" w:rsidP="00B079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Pr="00E242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Художественные принципы символизма</w:t>
      </w:r>
      <w:r w:rsidR="00FC62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079E7" w:rsidRPr="002402DA" w:rsidRDefault="00B079E7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</w:p>
    <w:p w:rsidR="00B57926" w:rsidRPr="00301B5B" w:rsidRDefault="00B079E7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2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особенности символизма как направления и течения в отечественной художественной культуре в переломный исторический период (рубеж XIX – XX веков);</w:t>
      </w:r>
    </w:p>
    <w:p w:rsidR="00B079E7" w:rsidRPr="002402DA" w:rsidRDefault="00B57926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2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  <w:r w:rsidR="009F4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079E7" w:rsidRPr="00FC6208" w:rsidRDefault="002946D8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079E7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Символизм как течение и направление в мировой художественной культуре</w:t>
      </w:r>
    </w:p>
    <w:p w:rsidR="00B079E7" w:rsidRPr="00FC6208" w:rsidRDefault="002946D8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079E7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Символизм как течение и направление в русской культуре:</w:t>
      </w:r>
    </w:p>
    <w:p w:rsidR="00B079E7" w:rsidRPr="00FC6208" w:rsidRDefault="00B079E7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 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философские основы символизма </w:t>
      </w:r>
    </w:p>
    <w:p w:rsidR="00B079E7" w:rsidRPr="00FC6208" w:rsidRDefault="00B079E7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символизм в литературе</w:t>
      </w:r>
    </w:p>
    <w:p w:rsidR="00B079E7" w:rsidRPr="00FC6208" w:rsidRDefault="00B079E7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 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символизм в живописи</w:t>
      </w:r>
    </w:p>
    <w:p w:rsidR="002946D8" w:rsidRPr="002402DA" w:rsidRDefault="002946D8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9E7" w:rsidRPr="002402DA" w:rsidRDefault="002946D8" w:rsidP="00B079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FC6208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Символизм как течение и направление в мировой художественной культуре.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весьма широкая категория понятие “символизм” применяется к искусству целых эпох. В литературоведении XX в. термин “символизм” применяется к художественным течениям конца XIX — начала XX вв. и употребляется на правах синонима в ряду терминов — "декадентство", "импрессионизм", "модернизм", "неоромантизм", став наиболее ходким из них в русских и французских работах. В качестве символистов самоопределилась группа французских поэтов в 80-х гг. XIX в., русских — в 90-х гг. Деятели символизма, а за ними историки литературы включали в круг символизма весьма разнородных писателей от Рембо до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Клоделя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Минского до Кузмина, наряду с Уайльдом — Ибсена.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Символизм широко распространился в поэзии Франции, Бельгии, Великобритании, Германии, Австро-Венгрии, России, Италии, Польши, Испании.</w:t>
      </w:r>
      <w:proofErr w:type="gramEnd"/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Влияние символизма испытали разнообразные художественные течения XX</w:t>
      </w:r>
      <w:r w:rsidR="00B57926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в. (экспрессионизм, сюрреализм, отчасти футуризм).</w:t>
      </w:r>
    </w:p>
    <w:p w:rsid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Символизм как течение и направление в русской культуре</w:t>
      </w:r>
      <w:r w:rsidR="00E24251"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Философские основы символизма.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философских основ символизма тесно связано с работами религиозного философа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25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. С. Соловьёва.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Соловьёв Владимир Сергеевич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Соловьев предпринял попытку объединить в "великом синтезе" христианский платонизм, немецкий классический идеализм (главным образом Ф. В. Шеллинга) и научный эмпиризм. Соловьев связывал философское творчество с позитивным разрешением жизненного вопроса "быть или не быть правде на земле", понимая правду как реализацию христианского идеала; за социалистическими учениями он признавал лишь относительную общественно-историческую правду. Некоей гармонизации двух исходных тем — космической и социальной — призвана служить метафизика Соловьева: собственно философская доктрина "всеединства" и религиозно-поэтическое учение о Софии (Вечной Женственности, Премудрости Божией). Ключевыми понятиями в философской системе Соловьева были “любовь” и “соборность” (исконная национальная традиция слияния в Боге общего и индивид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уального). Стихи "софийск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цикла", посвященные "подруге вечной" — мистической возлюбленной, продолжили традиции Ф. И. Тютчева, А.А.Фета, А. К. Толстого, отличается тоном напряжённой мистико-философской исповеди и элементами новой, специфически символической образности.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</w:t>
      </w:r>
      <w:r w:rsid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Соловьев стоял у истоков "нового религиозного сознания" начала 20 в.: богоискательства и религиозной философии С. Н. Булгакова, С. Н. и Е. Н. Трубецких, П. А. Флоренского. Большое влияние на российскую интеллигенцию оказывали также И.А. Ильин, Н.А. Бердяев. В 1909 г. С.Н. Булгаков, Н.А. Бердяев, С.Л. Франк выпустили сборник “Вехи”, где призвали интеллигенцию к покаянию и отречению от разрушительных и кровожадных революционных планов.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Символизм в литературе.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русском символизме существовало два потока. В 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1890-е гг.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заявили о себе 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“старшие символисты”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: Н.Минский, Д. Мережковский, З. Гиппиус, В. Брюсов, К. Бальмонт, Ф. Сологуб (Ф. Тетерников). Их идеологом был Д. Мережковский, мэтром (учителем) – В. Брюсов. В 1900-е гг. на литературную арену вышли 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“младо символисты”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: А. Белый (Б. Бугаев), А. Блок, С.Сол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овьёв, В.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Иванов, Эллис (Л. Кобылинский). Теоретиком этой группы стал А. Белый.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 взгляды 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Мережковский</w:t>
      </w:r>
      <w:proofErr w:type="gramEnd"/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изложил в докладе (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1892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затем в книге 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“О причинах упадка и о новых течениях современной русской литературы” (1893). 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Исходным пунктом раздумий было ощущение неразрешимых духовных противоречий времени. Для их преодоления предсказывался подъём к “идеальной человеческой культуре” в результате открытия божественной сущности мира. Эту цель должно было осуществить искусство с помощью символов, выливающихся из глубин сознания художника (в отличие от реалистического символа – обобщения жизненных явлений).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Мережковский</w:t>
      </w:r>
      <w:proofErr w:type="gramEnd"/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установил три главных элемента новейшей поэзии:</w:t>
      </w:r>
    </w:p>
    <w:p w:rsidR="00B079E7" w:rsidRPr="00FC6208" w:rsidRDefault="00B079E7" w:rsidP="00FC6208">
      <w:pPr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мистическое содержание,</w:t>
      </w:r>
    </w:p>
    <w:p w:rsidR="00B079E7" w:rsidRPr="00FC6208" w:rsidRDefault="00B079E7" w:rsidP="00FC6208">
      <w:pPr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символы (образы, обладающие многослойной смысловой структурой; в отличие от аллегории – однозначного иносказания – символ представляет собой </w:t>
      </w:r>
      <w:r w:rsidRPr="00FC620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многозначное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иносказание),</w:t>
      </w:r>
    </w:p>
    <w:p w:rsidR="00B079E7" w:rsidRPr="00FC6208" w:rsidRDefault="00B079E7" w:rsidP="00FC6208">
      <w:pPr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художественной впечатлительности.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 концепцию он развил в публицистических статьях и трилогии исторических романов 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“Христос и Антихрист” (1896 – 1905).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К. Бальмонт отстаивал иное представление о новой литературе в статье 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“Элементарные слова о символической поэзии” (1900). 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в ней стало стремление к “более утончённым способам выражения чувств и мыслей”, для того чтобы “огласить” (“как бы против воли автора”) таинственный “говор стихий” Вселенной, мирового. В художественном творчестве усматривалась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“могучая сила, стремящаяся угадать новые сочетания мыслей, красок, звуков”, выразить этими средствами начала космоса.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В. Брюсов в статье “Ключи тайн” (1904) писал: “Искусство есть постижение мира иными, нерассудочными путями. Искусство то, что в других областях мы называем откровением”. Науке было противопоставлено интуитивное прозрение в момент творческого вдохновения; символизм понимался как особая литературная школа. Начало развитию его идей было положено в статьях 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</w:t>
      </w:r>
      <w:proofErr w:type="gramStart"/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Ненужная</w:t>
      </w:r>
      <w:proofErr w:type="gramEnd"/>
      <w:r w:rsidR="00FE3861"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правда” (1902), “Искусство или жизнь”.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Иванов разрабатывал теорию символического искусства как теорию “символического реализма”, требующего от художника “точной копии, верной оригиналу передачи того, что он наблюдает”, без примесей преображения явлений жизни: “Истинному символизму важна не сила звука, а мощь звука”.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</w:t>
      </w:r>
      <w:proofErr w:type="gramEnd"/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статье 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“О религиозных переживаниях” (1903)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утверждал “взаимное соприкосновение искусства и религии”. В более поздних работах Белый чётко определил побуждения “младо символистов”: “приблизиться к Мировой Душе”, “передать в субъективно лирических излияниях Её голос”. На политические события 1905 г. А. Белый отозвался статьёй “Луг зелёный”, где с отсылкой на “Страшную месть” Н.В. Гоголя нарисовал образ-символ России – “спящая красавица, которую некогда разбудят ото сна”. К мистическому постижению души Родины, “сознания современной души” призывал А. Белый, а свою концепцию он назвал “религией жизни”.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Белый явился создателем многочисленных символистских произведений: не только поэтических, но и синкретичных, соединяющих черты различных жанров и родов литературы (лирика и драма), видов искусства (драма и музыка), а также романа “Петербург”, в котором была изложена концепция исторического будущего России, поставлена проблема “революция –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скифство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(цивилизация, созидающее начало) или революция –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монголизм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(варварство, разрушающее начало)”.</w:t>
      </w:r>
      <w:proofErr w:type="gramEnd"/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русской классикой символизм связывает богатый пласт традиций.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частности, петербургский текст, петербургский миф объединяет А.С. Пушкина (поэма “Медный всадник”), Н.В. Гоголя (“Петербургские повести”), Ф.М.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Достоевского (Великое Пятикнижие, особенно романы “Преступление и наказание”, “Подросток”), А. Белого (роман “Петербург”).</w:t>
      </w:r>
      <w:proofErr w:type="gram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“Демоническая тема” связала символизм с творчеством М.Ю. Лермонтова. По-новому зазвучала тема города в лирике А.А. Блока, осложнившись темами “страшного мира”, темами, созвучными идеям русских религиозных философов о Вечной Женственности (цикл “Стихи о Прекрасной Даме”, стихотворение и пьеса “Незнакомка”). С Лермонтовым, Достоевским, Гоголем символистов связывают тема и мотивы двойственности, а тема “Человек и мироздание” – с поэзией А.А. Фета, Ф.И. Тютчева, Полонского.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Большую роль в произведениях символистов играла библейская символика.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понятие “символ” может быть понято двояко: существует понимание “светское” (Брюсов, Бальмонт) и “духовное” (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Вяч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Иванов, Блок, Белый).</w:t>
      </w:r>
      <w:proofErr w:type="gramEnd"/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Лирика предоставляла символистам большую творческую свободу для экспериментов со словом. Символисты активно использовали такие изобразительно-выразительные возможности, как звукопись, ритмико-интонационные расстановки слов, музыкальную стихию речи. Символисты стремились ослабить логическое содержание слова, создать новые ассоциативные значения. Это вызывало эксперименты с использованием старославянской лексики, неологизмов, непонятных без предварительного объяснения речевых форм и оборотов. В. Брюсов задался целью “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развоплотить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слово”, чтобы оно утратило реальный смысл. А. Блок стремился создавать сложные словесно-музыкальные построения. К. Бальмонт обнаруживал самостоятельное смысловое, “сокровенное” значение даже в отдельном звуке. В зрелом символизме обнаруживается тенденция к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мифологизации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художественных образов. А. Белый стремился отыскать в слове единение внешнего и мистического, объявлял слово силой, создающей новый, третий мир – мир звуковых символов.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Поэтика слова, по мнению Белого, претерпевает три стадии развития: эпитет, сравнение, символ (символизация – вершина поэзии).</w:t>
      </w:r>
      <w:proofErr w:type="gram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 разрушает границы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материальным и духовным, конкретным и абстрактным. Поэтический символ обращается к идеальным сущностям первообразов. Символисты искали слияния поэтического “я” с “душой мироздания”.</w:t>
      </w:r>
    </w:p>
    <w:p w:rsidR="00B079E7" w:rsidRPr="00FC6208" w:rsidRDefault="00843DE2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0;margin-top:0;width:24pt;height:24pt;z-index:251658240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="00B079E7"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Символизм в живописи.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тенденциями символизма окрашены элегически просветлённая живопись В.Э.</w:t>
      </w:r>
      <w:r w:rsidR="001B2494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Борисова</w:t>
      </w:r>
      <w:r w:rsidR="001B2494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B2494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Мусатова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испытавшего влияние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Пюви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Шаванна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творчество многих художников "Мира искусства", отмеченное в целом созерцательным и ясным (несмотря на черты гротеска) характером, чисто эстетическим постижением прошлого, уходом от современности в ретроспективные грёзы (исключение составляли М.В.</w:t>
      </w:r>
      <w:r w:rsidR="00B57926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Добужинский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его урбанистическими фантомами и Н.К.Рерих, тяготевший к религиозно-мистической</w:t>
      </w:r>
      <w:proofErr w:type="gram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символике. Символистами провозглашали себя участники группировки "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Голубая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роза". Исторический перелом в судьбе страны находит символическое толкование в живописи К.С.</w:t>
      </w:r>
      <w:r w:rsidR="00B57926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Петрова-Водкина.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М.А. Врубель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(1856 – 1910) был одним из основоположников символистской живописи. В Академию художеств он поступил в 1880 г. уже зрелым человеком, после окончания юридического факультета Петербургского университета.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известные произведения М.А. Врубеля: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1890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программное полотно “Демон” (сидящий). В образе Демона соединились историко-литературные ассоциации,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лермонтовский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“дух изгнания”, автобиографические моменты.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1893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“Суд Париса”. Врубель часто обращался к экзотическим темам, мотивам, фольклору, мифологии, образам Средневековья, русским былинам, литературным источникам.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1896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панно “Принцесса Греза” (по мотивам пьесы французского драматурга и поэта Э.Ростана), «Микула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Селянинович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композиции “Фауст”, “Маргарита”, “Мефистофель”.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1897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“Портрет Мамонтова”.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1899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полотно “Демон летящий”, “Пан”.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1900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“Царевна-Лебедь”, “Сирень” (сине-лиловый колорит), “К ночи”.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1902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полотно “Демон поверженный”.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1906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“Портрет Брюсова”.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 Врубель известен не только живописными произведениями, он украшал камины изразцами с изображениями русских богатырей (работая в гончарной мастерской, увлёкся майоликой), создавал сказочные керамические скульптуры “Лель”, “Садко”, “Снегурочка”, “Берендей”.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творческой манеры М.А. Врубеля заключаются в следующем:</w:t>
      </w:r>
    </w:p>
    <w:p w:rsidR="00B079E7" w:rsidRPr="00FC6208" w:rsidRDefault="00B079E7" w:rsidP="00FC6208">
      <w:pPr>
        <w:numPr>
          <w:ilvl w:val="0"/>
          <w:numId w:val="6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эмоционально-лирическое звучание картин важнее сюжетно-событийных моментов;</w:t>
      </w:r>
    </w:p>
    <w:p w:rsidR="00B079E7" w:rsidRPr="00FC6208" w:rsidRDefault="00B079E7" w:rsidP="00FC6208">
      <w:pPr>
        <w:numPr>
          <w:ilvl w:val="0"/>
          <w:numId w:val="6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монументальности, объёмного рисунка и “дробной” формы;</w:t>
      </w:r>
    </w:p>
    <w:p w:rsidR="00B079E7" w:rsidRPr="00FC6208" w:rsidRDefault="00B079E7" w:rsidP="00FC6208">
      <w:pPr>
        <w:numPr>
          <w:ilvl w:val="0"/>
          <w:numId w:val="6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музыкальность,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симфоничность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живописи, превращение картины в музыкальную прелюдию, стихотворение;</w:t>
      </w:r>
    </w:p>
    <w:p w:rsidR="00B079E7" w:rsidRPr="00FC6208" w:rsidRDefault="00B079E7" w:rsidP="00FC6208">
      <w:pPr>
        <w:numPr>
          <w:ilvl w:val="0"/>
          <w:numId w:val="6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тесная связь с современными художнику музыкальными произведениями (полотна “Царевна-Лебедь”, “Тридцать три богатыря” внутренне, на уровне мотивов, тем продолжают оперу “Сказка о царе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Салтане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”, скульптуры “Волхова” и “Мизгирь” запечатлели героев оперы Римского-Корсакова);</w:t>
      </w:r>
      <w:proofErr w:type="gramEnd"/>
    </w:p>
    <w:p w:rsidR="00B079E7" w:rsidRPr="00FC6208" w:rsidRDefault="00B079E7" w:rsidP="00FC6208">
      <w:pPr>
        <w:numPr>
          <w:ilvl w:val="0"/>
          <w:numId w:val="6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лейтмотивных цветов (преимущественно фиолетового колорита).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мастера лири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ческой живописи Виктора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Борисова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B57926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Мусатова</w:t>
      </w:r>
      <w:proofErr w:type="spellEnd"/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огромное влияние оказал французский импрессионизм. В.Э. Борисов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57926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Мусатов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работал на пленэре.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Известные работы Борисова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57926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Мусатова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1897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этюд “Агава”.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1898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“Автопортрет с сестрой”.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1899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“Осенний мотив”.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1900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“Гармония”.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1901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“Прогулка”, “Гобелен”.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1902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“Водоём” (преобладание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голубого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цвета).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1903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“Призраки”.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1903 – 1904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“Изумрудное ожерелье”.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картин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Борисова-Мусатова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79E7" w:rsidRPr="00FC6208" w:rsidRDefault="00B079E7" w:rsidP="00FC6208">
      <w:pPr>
        <w:numPr>
          <w:ilvl w:val="0"/>
          <w:numId w:val="7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монументал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космических образов и драм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3861"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ических коллизий,</w:t>
      </w:r>
    </w:p>
    <w:p w:rsidR="00B079E7" w:rsidRPr="00FC6208" w:rsidRDefault="00B079E7" w:rsidP="00FC6208">
      <w:pPr>
        <w:numPr>
          <w:ilvl w:val="0"/>
          <w:numId w:val="7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световоздушных эффектов, позволяющих запечатлеть сиюминутные мгновения,</w:t>
      </w:r>
    </w:p>
    <w:p w:rsidR="00B079E7" w:rsidRPr="00FC6208" w:rsidRDefault="00B079E7" w:rsidP="00FC6208">
      <w:pPr>
        <w:numPr>
          <w:ilvl w:val="0"/>
          <w:numId w:val="7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ослабление или отсутствие сюжета, событий,</w:t>
      </w:r>
    </w:p>
    <w:p w:rsidR="00B079E7" w:rsidRPr="00FC6208" w:rsidRDefault="00B079E7" w:rsidP="00FC6208">
      <w:pPr>
        <w:numPr>
          <w:ilvl w:val="0"/>
          <w:numId w:val="7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обилие стилизаций,</w:t>
      </w:r>
    </w:p>
    <w:p w:rsidR="00B079E7" w:rsidRPr="00FC6208" w:rsidRDefault="00B079E7" w:rsidP="00FC6208">
      <w:pPr>
        <w:numPr>
          <w:ilvl w:val="0"/>
          <w:numId w:val="7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излюбленная техника – пастель и темпера,</w:t>
      </w:r>
    </w:p>
    <w:p w:rsidR="00B079E7" w:rsidRPr="00FC6208" w:rsidRDefault="00B079E7" w:rsidP="00FC6208">
      <w:pPr>
        <w:numPr>
          <w:ilvl w:val="0"/>
          <w:numId w:val="7"/>
        </w:num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в живописных работах противоположных начал (пейзажная живопись содержит в себе “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антипейзажное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начало”).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творческое объединение “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Голубая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роза” вошли такие художники, как П.В. Кузнецов, М.С. Сарьян, С.Ю. Судейкин, Н.Н. Сапунов. Установка их живописи – выявлять в обыденной жизни высокие “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надвременные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связи и значения, проникать в тайны вечной гармонии. Н.Н. Сапунов и С.Ю. Судейкин увлеклись театром и явились оформителями ранних символистских драм М. Метерлинка для Театра-студии МХТ </w:t>
      </w:r>
      <w:proofErr w:type="gram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Поварской. Для пейзажей П.В. Кузнецова были характерны тончайшие нюансы, созвучие цвета, рисунка, формы; для картин М.С. Сарьяна были характерны гипертрофированная красочность, “оркестровое звучание”. Ни один из художников, однако, не проводил чёткой грани между живописью и музыкой.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Выставка группы художников “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Голубая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роза” открылась в марте 1907 г. в Москве по инициативе мецената, коллекционера и художника-любителя Н.П. 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Рябушинского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(1877 – 1951). Участники выставки являлись выпускниками Московского училища живописи, ваяния и зодчества. Некоторые из них сотрудничали в московских символистских журналах “Весы” и “Золотое руно”, испытали на себе влияние В.Э. Борисова-Муратова. Главную задачу своего 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творчества они определили, как погружение в мир тончайших, неуловимых чувств, сложных внутренних ощущений, необъяснимых словами.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известные работы художников группы “</w:t>
      </w:r>
      <w:proofErr w:type="spellStart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Голубая</w:t>
      </w:r>
      <w:proofErr w:type="spellEnd"/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роза”: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1904-1905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пейзажи “Фонтан”, “Утро” (П. Кузнецов).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1906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“Озеро фей” (М. Сарьян).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1907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“В парке” (С. Судейкин).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1908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“Карусель” (Н. Сапунов).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1910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“Улица. Полдень. Константинополь” (М. Сарьян), “Бал” (Н. Сапунов).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1911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“Финиковая пальма” (М. Сарьян).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1912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“Мираж в степи” (П. Кузнецов).</w:t>
      </w:r>
    </w:p>
    <w:p w:rsidR="00B079E7" w:rsidRPr="00FC6208" w:rsidRDefault="00B079E7" w:rsidP="00FC6208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Литовский композитор и живописец </w:t>
      </w:r>
      <w:r w:rsidRPr="00FC62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Чюрлёнис</w:t>
      </w:r>
      <w:r w:rsidRPr="00FC6208">
        <w:rPr>
          <w:rFonts w:ascii="Times New Roman" w:eastAsia="Times New Roman" w:hAnsi="Times New Roman" w:cs="Times New Roman"/>
          <w:sz w:val="28"/>
          <w:szCs w:val="28"/>
          <w:lang w:eastAsia="ru-RU"/>
        </w:rPr>
        <w:t> (1875 – 1911) мечтал создать новый вид искусства – “зримую музыку”, построенную на слиянии музыкальных форм и их изобразительных аналогов. Свои живописные произведения он называл прелюдиями, фугами, сонатами (“Весенняя”, “Летняя”, “Соната моря”), при этом его живописные сонаты сохраняли все композиционные части этой музыкальной формы: аллегро, анданте, скерцо, финал. Работы Чюрлёниса разнообразны по тематике: “Сказка королей”, “Соната пирамид” (посвящена древней египетской культуре), “Знаки Зодиака”, “Соната Солнца”.</w:t>
      </w:r>
    </w:p>
    <w:p w:rsidR="002946D8" w:rsidRPr="002402DA" w:rsidRDefault="002946D8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6D8" w:rsidRPr="002402DA" w:rsidRDefault="002946D8" w:rsidP="00FC6208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литературы:</w:t>
      </w:r>
    </w:p>
    <w:p w:rsidR="00FE3861" w:rsidRDefault="00FC6208" w:rsidP="00FC62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 Учебник «</w:t>
      </w:r>
      <w:r w:rsidR="00FE3861" w:rsidRPr="002402DA">
        <w:rPr>
          <w:sz w:val="28"/>
          <w:szCs w:val="28"/>
        </w:rPr>
        <w:t xml:space="preserve">Мировая художественная культура». Данилова Г.И. - М. Дрофа, </w:t>
      </w:r>
      <w:r>
        <w:rPr>
          <w:sz w:val="28"/>
          <w:szCs w:val="28"/>
        </w:rPr>
        <w:t xml:space="preserve">  </w:t>
      </w:r>
      <w:r w:rsidR="00FE3861" w:rsidRPr="002402DA">
        <w:rPr>
          <w:sz w:val="28"/>
          <w:szCs w:val="28"/>
        </w:rPr>
        <w:t>2016</w:t>
      </w:r>
      <w:r w:rsidR="00301B5B">
        <w:rPr>
          <w:sz w:val="28"/>
          <w:szCs w:val="28"/>
        </w:rPr>
        <w:t xml:space="preserve"> г</w:t>
      </w:r>
      <w:r w:rsidR="00FE3861" w:rsidRPr="002402DA">
        <w:rPr>
          <w:sz w:val="28"/>
          <w:szCs w:val="28"/>
        </w:rPr>
        <w:t>.</w:t>
      </w:r>
    </w:p>
    <w:p w:rsidR="00FC6208" w:rsidRPr="002402DA" w:rsidRDefault="00FC6208" w:rsidP="00FC62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FE3861" w:rsidRPr="002402DA" w:rsidRDefault="00FE3861" w:rsidP="00FC620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402DA">
        <w:rPr>
          <w:sz w:val="28"/>
          <w:szCs w:val="28"/>
        </w:rPr>
        <w:t>2.</w:t>
      </w:r>
      <w:r w:rsidRPr="002402DA">
        <w:rPr>
          <w:i/>
          <w:iCs/>
          <w:sz w:val="28"/>
          <w:szCs w:val="28"/>
          <w:shd w:val="clear" w:color="auto" w:fill="FFFFFF"/>
        </w:rPr>
        <w:t> </w:t>
      </w:r>
      <w:r w:rsidRPr="002402DA">
        <w:rPr>
          <w:rStyle w:val="a4"/>
          <w:sz w:val="28"/>
          <w:szCs w:val="28"/>
          <w:shd w:val="clear" w:color="auto" w:fill="FFFFFF"/>
        </w:rPr>
        <w:t>«</w:t>
      </w:r>
      <w:r w:rsidRPr="002402DA">
        <w:rPr>
          <w:sz w:val="28"/>
          <w:szCs w:val="28"/>
          <w:shd w:val="clear" w:color="auto" w:fill="FFFFFF"/>
        </w:rPr>
        <w:t>Искусство</w:t>
      </w:r>
      <w:r w:rsidRPr="002402DA">
        <w:rPr>
          <w:rStyle w:val="a4"/>
          <w:sz w:val="28"/>
          <w:szCs w:val="28"/>
          <w:shd w:val="clear" w:color="auto" w:fill="FFFFFF"/>
        </w:rPr>
        <w:t>.</w:t>
      </w:r>
      <w:r w:rsidRPr="002402DA">
        <w:rPr>
          <w:sz w:val="28"/>
          <w:szCs w:val="28"/>
          <w:shd w:val="clear" w:color="auto" w:fill="FFFFFF"/>
        </w:rPr>
        <w:t> </w:t>
      </w:r>
      <w:proofErr w:type="gramStart"/>
      <w:r w:rsidRPr="002402DA">
        <w:rPr>
          <w:sz w:val="28"/>
          <w:szCs w:val="28"/>
          <w:shd w:val="clear" w:color="auto" w:fill="FFFFFF"/>
        </w:rPr>
        <w:t>Современная иллюстрированная энциклопедия</w:t>
      </w:r>
      <w:r w:rsidRPr="002402DA">
        <w:rPr>
          <w:rStyle w:val="a4"/>
          <w:sz w:val="28"/>
          <w:szCs w:val="28"/>
          <w:shd w:val="clear" w:color="auto" w:fill="FFFFFF"/>
        </w:rPr>
        <w:t>.»</w:t>
      </w:r>
      <w:r w:rsidRPr="002402DA">
        <w:rPr>
          <w:sz w:val="28"/>
          <w:szCs w:val="28"/>
          <w:shd w:val="clear" w:color="auto" w:fill="FFFFFF"/>
        </w:rPr>
        <w:t> Под ред</w:t>
      </w:r>
      <w:r w:rsidRPr="002402DA">
        <w:rPr>
          <w:rStyle w:val="a4"/>
          <w:sz w:val="28"/>
          <w:szCs w:val="28"/>
          <w:shd w:val="clear" w:color="auto" w:fill="FFFFFF"/>
        </w:rPr>
        <w:t>.</w:t>
      </w:r>
      <w:r w:rsidRPr="002402DA">
        <w:rPr>
          <w:sz w:val="28"/>
          <w:szCs w:val="28"/>
          <w:shd w:val="clear" w:color="auto" w:fill="FFFFFF"/>
        </w:rPr>
        <w:t>  Горкина А</w:t>
      </w:r>
      <w:r w:rsidRPr="002402DA">
        <w:rPr>
          <w:rStyle w:val="a4"/>
          <w:sz w:val="28"/>
          <w:szCs w:val="28"/>
          <w:shd w:val="clear" w:color="auto" w:fill="FFFFFF"/>
        </w:rPr>
        <w:t>.</w:t>
      </w:r>
      <w:r w:rsidRPr="002402DA">
        <w:rPr>
          <w:sz w:val="28"/>
          <w:szCs w:val="28"/>
          <w:shd w:val="clear" w:color="auto" w:fill="FFFFFF"/>
        </w:rPr>
        <w:t>П</w:t>
      </w:r>
      <w:r w:rsidRPr="002402DA">
        <w:rPr>
          <w:rStyle w:val="a4"/>
          <w:sz w:val="28"/>
          <w:szCs w:val="28"/>
          <w:shd w:val="clear" w:color="auto" w:fill="FFFFFF"/>
        </w:rPr>
        <w:t>.;</w:t>
      </w:r>
      <w:r w:rsidRPr="002402DA">
        <w:rPr>
          <w:sz w:val="28"/>
          <w:szCs w:val="28"/>
          <w:shd w:val="clear" w:color="auto" w:fill="FFFFFF"/>
        </w:rPr>
        <w:t> М</w:t>
      </w:r>
      <w:r w:rsidRPr="002402DA">
        <w:rPr>
          <w:rStyle w:val="a4"/>
          <w:sz w:val="28"/>
          <w:szCs w:val="28"/>
          <w:shd w:val="clear" w:color="auto" w:fill="FFFFFF"/>
        </w:rPr>
        <w:t>.</w:t>
      </w:r>
      <w:r w:rsidRPr="002402DA">
        <w:rPr>
          <w:sz w:val="28"/>
          <w:szCs w:val="28"/>
          <w:shd w:val="clear" w:color="auto" w:fill="FFFFFF"/>
        </w:rPr>
        <w:t>: Росмэн</w:t>
      </w:r>
      <w:r w:rsidRPr="002402DA">
        <w:rPr>
          <w:rStyle w:val="a4"/>
          <w:sz w:val="28"/>
          <w:szCs w:val="28"/>
          <w:shd w:val="clear" w:color="auto" w:fill="FFFFFF"/>
        </w:rPr>
        <w:t>;</w:t>
      </w:r>
      <w:r w:rsidRPr="002402DA">
        <w:rPr>
          <w:sz w:val="28"/>
          <w:szCs w:val="28"/>
          <w:shd w:val="clear" w:color="auto" w:fill="FFFFFF"/>
        </w:rPr>
        <w:t> 2017</w:t>
      </w:r>
      <w:r w:rsidRPr="002402DA">
        <w:rPr>
          <w:rStyle w:val="a4"/>
          <w:sz w:val="28"/>
          <w:szCs w:val="28"/>
          <w:shd w:val="clear" w:color="auto" w:fill="FFFFFF"/>
        </w:rPr>
        <w:t>.)</w:t>
      </w:r>
      <w:proofErr w:type="gramEnd"/>
    </w:p>
    <w:p w:rsidR="002946D8" w:rsidRPr="002402DA" w:rsidRDefault="00FE3861" w:rsidP="00FC6208">
      <w:pPr>
        <w:pStyle w:val="a3"/>
        <w:shd w:val="clear" w:color="auto" w:fill="FFFFFF"/>
        <w:spacing w:after="300" w:afterAutospacing="0" w:line="276" w:lineRule="auto"/>
        <w:jc w:val="both"/>
        <w:rPr>
          <w:sz w:val="28"/>
          <w:szCs w:val="28"/>
        </w:rPr>
      </w:pPr>
      <w:r w:rsidRPr="002402DA">
        <w:rPr>
          <w:sz w:val="28"/>
          <w:szCs w:val="28"/>
        </w:rPr>
        <w:t>3.</w:t>
      </w:r>
      <w:r w:rsidR="002946D8" w:rsidRPr="002402DA">
        <w:rPr>
          <w:sz w:val="28"/>
          <w:szCs w:val="28"/>
        </w:rPr>
        <w:t xml:space="preserve"> Смирнова Л. А., Михайлов О. Н., Русская </w:t>
      </w:r>
      <w:r w:rsidRPr="002402DA">
        <w:rPr>
          <w:sz w:val="28"/>
          <w:szCs w:val="28"/>
        </w:rPr>
        <w:t xml:space="preserve">литература ХХ века </w:t>
      </w:r>
      <w:r w:rsidR="002946D8" w:rsidRPr="002402DA">
        <w:rPr>
          <w:sz w:val="28"/>
          <w:szCs w:val="28"/>
        </w:rPr>
        <w:t xml:space="preserve"> в 2 частях, составитель Е. П. Пронина. Под редакцией Журав</w:t>
      </w:r>
      <w:r w:rsidRPr="002402DA">
        <w:rPr>
          <w:sz w:val="28"/>
          <w:szCs w:val="28"/>
        </w:rPr>
        <w:t>лёва В. П. М.: Просвещение, 2018</w:t>
      </w:r>
      <w:r w:rsidR="002946D8" w:rsidRPr="002402DA">
        <w:rPr>
          <w:sz w:val="28"/>
          <w:szCs w:val="28"/>
        </w:rPr>
        <w:t xml:space="preserve"> </w:t>
      </w:r>
      <w:r w:rsidR="00E24251">
        <w:rPr>
          <w:sz w:val="28"/>
          <w:szCs w:val="28"/>
        </w:rPr>
        <w:t>г.</w:t>
      </w:r>
    </w:p>
    <w:p w:rsidR="00B079E7" w:rsidRPr="002402DA" w:rsidRDefault="00B079E7" w:rsidP="00B57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079E7" w:rsidRPr="002402DA" w:rsidSect="001B2494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84952"/>
    <w:multiLevelType w:val="multilevel"/>
    <w:tmpl w:val="19FA0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D2B47"/>
    <w:multiLevelType w:val="multilevel"/>
    <w:tmpl w:val="D38AD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7B37C3"/>
    <w:multiLevelType w:val="multilevel"/>
    <w:tmpl w:val="C7DE2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947649"/>
    <w:multiLevelType w:val="multilevel"/>
    <w:tmpl w:val="5C384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8305BF"/>
    <w:multiLevelType w:val="multilevel"/>
    <w:tmpl w:val="4CDA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A20059"/>
    <w:multiLevelType w:val="multilevel"/>
    <w:tmpl w:val="113A2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294265"/>
    <w:multiLevelType w:val="multilevel"/>
    <w:tmpl w:val="D9F41C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BC70B10"/>
    <w:multiLevelType w:val="multilevel"/>
    <w:tmpl w:val="1A9E6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C57B08"/>
    <w:multiLevelType w:val="multilevel"/>
    <w:tmpl w:val="4BFEB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172330"/>
    <w:multiLevelType w:val="multilevel"/>
    <w:tmpl w:val="35880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8E7634"/>
    <w:multiLevelType w:val="multilevel"/>
    <w:tmpl w:val="EB280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9E7"/>
    <w:rsid w:val="001079D3"/>
    <w:rsid w:val="001B2494"/>
    <w:rsid w:val="002402DA"/>
    <w:rsid w:val="002946D8"/>
    <w:rsid w:val="002E4CB3"/>
    <w:rsid w:val="00301B5B"/>
    <w:rsid w:val="003D308C"/>
    <w:rsid w:val="005301E8"/>
    <w:rsid w:val="00616BD1"/>
    <w:rsid w:val="00693E4E"/>
    <w:rsid w:val="00775C75"/>
    <w:rsid w:val="00843DE2"/>
    <w:rsid w:val="0092683F"/>
    <w:rsid w:val="009F4042"/>
    <w:rsid w:val="00B079E7"/>
    <w:rsid w:val="00B111DF"/>
    <w:rsid w:val="00B57926"/>
    <w:rsid w:val="00E24251"/>
    <w:rsid w:val="00E559D2"/>
    <w:rsid w:val="00ED429E"/>
    <w:rsid w:val="00FC6208"/>
    <w:rsid w:val="00FE3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E3861"/>
    <w:rPr>
      <w:i/>
      <w:iCs/>
    </w:rPr>
  </w:style>
  <w:style w:type="paragraph" w:styleId="a5">
    <w:name w:val="List Paragraph"/>
    <w:basedOn w:val="a"/>
    <w:uiPriority w:val="34"/>
    <w:qFormat/>
    <w:rsid w:val="00E24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2281</Words>
  <Characters>13007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Z</dc:creator>
  <cp:lastModifiedBy>Пользователь</cp:lastModifiedBy>
  <cp:revision>13</cp:revision>
  <dcterms:created xsi:type="dcterms:W3CDTF">2020-12-07T18:24:00Z</dcterms:created>
  <dcterms:modified xsi:type="dcterms:W3CDTF">2020-12-15T14:31:00Z</dcterms:modified>
</cp:coreProperties>
</file>